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A3402" w14:textId="28F9DABC" w:rsidR="00992A60" w:rsidRPr="00467E96" w:rsidRDefault="0053765E" w:rsidP="00467E96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467E96">
        <w:rPr>
          <w:rFonts w:ascii="Times New Roman" w:hAnsi="Times New Roman" w:cs="Times New Roman"/>
          <w:b/>
          <w:bCs/>
          <w:sz w:val="28"/>
          <w:szCs w:val="32"/>
        </w:rPr>
        <w:t>Supp</w:t>
      </w:r>
      <w:r w:rsidR="004A168B" w:rsidRPr="00467E96">
        <w:rPr>
          <w:rFonts w:ascii="Times New Roman" w:hAnsi="Times New Roman" w:cs="Times New Roman"/>
          <w:b/>
          <w:bCs/>
          <w:sz w:val="28"/>
          <w:szCs w:val="32"/>
        </w:rPr>
        <w:t>orting</w:t>
      </w:r>
      <w:r w:rsidRPr="00467E96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E94CDE">
        <w:rPr>
          <w:rFonts w:ascii="Times New Roman" w:hAnsi="Times New Roman" w:cs="Times New Roman"/>
          <w:b/>
          <w:bCs/>
          <w:sz w:val="28"/>
          <w:szCs w:val="32"/>
        </w:rPr>
        <w:t>i</w:t>
      </w:r>
      <w:r w:rsidRPr="00467E96">
        <w:rPr>
          <w:rFonts w:ascii="Times New Roman" w:hAnsi="Times New Roman" w:cs="Times New Roman"/>
          <w:b/>
          <w:bCs/>
          <w:sz w:val="28"/>
          <w:szCs w:val="32"/>
        </w:rPr>
        <w:t>nformation</w:t>
      </w:r>
      <w:r w:rsidR="00E94CDE">
        <w:rPr>
          <w:rFonts w:ascii="Times New Roman" w:hAnsi="Times New Roman" w:cs="Times New Roman"/>
          <w:b/>
          <w:bCs/>
          <w:sz w:val="28"/>
          <w:szCs w:val="32"/>
        </w:rPr>
        <w:t xml:space="preserve"> for</w:t>
      </w:r>
    </w:p>
    <w:p w14:paraId="3C9D22BC" w14:textId="734A6860" w:rsidR="00A4793B" w:rsidRDefault="00A4793B"/>
    <w:p w14:paraId="21A4E190" w14:textId="77777777" w:rsidR="00232EFF" w:rsidRPr="00232EFF" w:rsidRDefault="00232EFF" w:rsidP="00232E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32EFF">
        <w:rPr>
          <w:rFonts w:ascii="Times New Roman" w:hAnsi="Times New Roman" w:cs="Times New Roman"/>
          <w:b/>
          <w:sz w:val="28"/>
          <w:szCs w:val="28"/>
        </w:rPr>
        <w:t>Sandwich-like graphene oxide/Cu</w:t>
      </w:r>
      <w:r w:rsidRPr="00232EFF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232EFF">
        <w:rPr>
          <w:rFonts w:ascii="Times New Roman" w:hAnsi="Times New Roman" w:cs="Times New Roman"/>
          <w:b/>
          <w:sz w:val="28"/>
          <w:szCs w:val="28"/>
        </w:rPr>
        <w:t>O/graphene oxide composite fabricated layer-by-layer for sensitive electrochemical detection of H</w:t>
      </w:r>
      <w:r w:rsidRPr="00232EFF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232EFF">
        <w:rPr>
          <w:rFonts w:ascii="Times New Roman" w:hAnsi="Times New Roman" w:cs="Times New Roman"/>
          <w:b/>
          <w:sz w:val="28"/>
          <w:szCs w:val="28"/>
        </w:rPr>
        <w:t>O</w:t>
      </w:r>
      <w:r w:rsidRPr="00232EFF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232EFF">
        <w:rPr>
          <w:rFonts w:ascii="Times New Roman" w:hAnsi="Times New Roman" w:cs="Times New Roman"/>
          <w:b/>
          <w:sz w:val="28"/>
          <w:szCs w:val="28"/>
        </w:rPr>
        <w:t xml:space="preserve"> releasing from living cells</w:t>
      </w:r>
      <w:bookmarkStart w:id="0" w:name="_GoBack"/>
      <w:bookmarkEnd w:id="0"/>
    </w:p>
    <w:p w14:paraId="03BC95C9" w14:textId="77777777" w:rsidR="00A4793B" w:rsidRPr="00232EFF" w:rsidRDefault="00A4793B" w:rsidP="00A4793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BBCBDF" w14:textId="77777777" w:rsidR="00232EFF" w:rsidRPr="00AC5A62" w:rsidRDefault="00232EFF" w:rsidP="00232E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proofErr w:type="spellStart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Donghang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Yin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a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D512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Jun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yan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Tang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a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Ruixue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 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, Fei Wang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a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proofErr w:type="spellStart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Xiuzhi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Jia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cs="Times New Roman"/>
          <w:color w:val="000000" w:themeColor="text1"/>
          <w:sz w:val="24"/>
          <w:szCs w:val="24"/>
          <w:vertAlign w:val="superscript"/>
        </w:rPr>
        <w:t>c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Caolong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Li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a,b</w:t>
      </w:r>
      <w:proofErr w:type="spellEnd"/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FD5121">
        <w:rPr>
          <w:rFonts w:ascii="MS Gothic" w:eastAsia="MS Gothic" w:hAnsi="MS Gothic" w:cs="MS Gothic" w:hint="eastAsia"/>
          <w:color w:val="000000" w:themeColor="text1"/>
          <w:sz w:val="24"/>
          <w:szCs w:val="24"/>
          <w:vertAlign w:val="superscript"/>
        </w:rPr>
        <w:t>∗</w:t>
      </w:r>
    </w:p>
    <w:p w14:paraId="3989002E" w14:textId="77777777" w:rsidR="00232EFF" w:rsidRPr="00FD5121" w:rsidRDefault="00232EFF" w:rsidP="00232E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Key Laboratory of Biomedical Functional Materials, School of Science, China Pharmaceutical University, Nanjing, 211198, P. R. China</w:t>
      </w:r>
    </w:p>
    <w:p w14:paraId="57D8BA34" w14:textId="77777777" w:rsidR="00232EFF" w:rsidRPr="00FD5121" w:rsidRDefault="00232EFF" w:rsidP="00232E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51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Tibetan Medicine Research Institute, Tibetan Traditional Medical College, Tibet, 850000, P. R. China</w:t>
      </w:r>
    </w:p>
    <w:p w14:paraId="306C4066" w14:textId="5CA1CF68" w:rsidR="00232EFF" w:rsidRDefault="00232EFF" w:rsidP="00232E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  <w:vertAlign w:val="superscript"/>
          <w:lang w:val="en-GB"/>
        </w:rPr>
        <w:t>c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FD5121">
        <w:rPr>
          <w:rFonts w:ascii="Times New Roman" w:hAnsi="Times New Roman" w:cs="Times New Roman"/>
          <w:color w:val="000000" w:themeColor="text1"/>
          <w:sz w:val="24"/>
          <w:szCs w:val="24"/>
        </w:rPr>
        <w:t>School of Basic Medical Science, Harbin Medical University, Harbin, 150081, China</w:t>
      </w:r>
    </w:p>
    <w:p w14:paraId="469EC0F7" w14:textId="77777777" w:rsidR="00232EFF" w:rsidRPr="00FD5121" w:rsidRDefault="00232EFF" w:rsidP="00232E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0ED8FB59" w14:textId="5845593E" w:rsidR="00A4793B" w:rsidRPr="00A4793B" w:rsidRDefault="00A4793B" w:rsidP="00A4793B">
      <w:pPr>
        <w:jc w:val="center"/>
        <w:rPr>
          <w:rFonts w:ascii="Times New Roman" w:hAnsi="Times New Roman" w:cs="Times New Roman"/>
          <w:lang w:val="en-GB"/>
        </w:rPr>
      </w:pPr>
      <w:r w:rsidRPr="00A4793B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77D74DD" wp14:editId="3D190CE9">
            <wp:extent cx="3017648" cy="2331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8749" cy="233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768EB" w14:textId="3B2D85E9" w:rsidR="00A4793B" w:rsidRPr="00232EFF" w:rsidRDefault="00A4793B">
      <w:pPr>
        <w:rPr>
          <w:rFonts w:ascii="Times New Roman" w:hAnsi="Times New Roman" w:cs="Times New Roman"/>
          <w:sz w:val="24"/>
          <w:szCs w:val="28"/>
          <w:lang w:val="en-GB"/>
        </w:rPr>
      </w:pPr>
      <w:r w:rsidRPr="00232EFF">
        <w:rPr>
          <w:rFonts w:ascii="Times New Roman" w:hAnsi="Times New Roman" w:cs="Times New Roman"/>
          <w:b/>
          <w:sz w:val="24"/>
          <w:szCs w:val="28"/>
          <w:lang w:val="en-GB"/>
        </w:rPr>
        <w:t>Fig. S1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Calibration curve of </w:t>
      </w:r>
      <w:proofErr w:type="spellStart"/>
      <w:r w:rsidRPr="00232EFF">
        <w:rPr>
          <w:rFonts w:ascii="Times New Roman" w:hAnsi="Times New Roman" w:cs="Times New Roman"/>
          <w:sz w:val="24"/>
          <w:szCs w:val="28"/>
          <w:lang w:val="en-GB"/>
        </w:rPr>
        <w:t>amperometric</w:t>
      </w:r>
      <w:proofErr w:type="spellEnd"/>
      <w:r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response to H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O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detection in the concentration range of 6 − 20 </w:t>
      </w:r>
      <w:proofErr w:type="spellStart"/>
      <w:r w:rsidRPr="00232EFF">
        <w:rPr>
          <w:rFonts w:ascii="Times New Roman" w:hAnsi="Times New Roman" w:cs="Times New Roman"/>
          <w:sz w:val="24"/>
          <w:szCs w:val="28"/>
          <w:lang w:val="en-GB"/>
        </w:rPr>
        <w:t>mM.</w:t>
      </w:r>
      <w:proofErr w:type="spellEnd"/>
    </w:p>
    <w:p w14:paraId="62CE790B" w14:textId="26068B8A" w:rsidR="00A4793B" w:rsidRDefault="00A4793B">
      <w:pPr>
        <w:rPr>
          <w:lang w:val="en-GB"/>
        </w:rPr>
      </w:pPr>
    </w:p>
    <w:p w14:paraId="6424003A" w14:textId="54299BC4" w:rsidR="00A4793B" w:rsidRDefault="00A4793B">
      <w:pPr>
        <w:rPr>
          <w:lang w:val="en-GB"/>
        </w:rPr>
      </w:pPr>
    </w:p>
    <w:p w14:paraId="5B49A137" w14:textId="32BAB437" w:rsidR="00A4793B" w:rsidRPr="00A4793B" w:rsidRDefault="00A4793B">
      <w:pPr>
        <w:rPr>
          <w:lang w:val="en-GB"/>
        </w:rPr>
      </w:pPr>
    </w:p>
    <w:p w14:paraId="3FA077C6" w14:textId="276517CD" w:rsidR="00A4793B" w:rsidRDefault="00A4793B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C4ED376" wp14:editId="1FC3689A">
            <wp:extent cx="5274310" cy="13760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378A8" w14:textId="2908CBC1" w:rsidR="00A4793B" w:rsidRDefault="00A4793B">
      <w:pPr>
        <w:rPr>
          <w:lang w:val="en-GB"/>
        </w:rPr>
      </w:pPr>
    </w:p>
    <w:p w14:paraId="59600B31" w14:textId="64FB814A" w:rsidR="00A4793B" w:rsidRPr="00232EFF" w:rsidRDefault="00A4793B">
      <w:pPr>
        <w:rPr>
          <w:rFonts w:ascii="Times New Roman" w:hAnsi="Times New Roman" w:cs="Times New Roman"/>
          <w:sz w:val="24"/>
          <w:szCs w:val="28"/>
          <w:lang w:val="en-GB"/>
        </w:rPr>
      </w:pPr>
      <w:r w:rsidRPr="00232EFF">
        <w:rPr>
          <w:rFonts w:ascii="Times New Roman" w:hAnsi="Times New Roman" w:cs="Times New Roman"/>
          <w:b/>
          <w:sz w:val="24"/>
          <w:szCs w:val="28"/>
          <w:lang w:val="en-GB"/>
        </w:rPr>
        <w:t>Fig. S2</w:t>
      </w:r>
      <w:r w:rsidR="003D252B" w:rsidRPr="00232EFF">
        <w:rPr>
          <w:rFonts w:ascii="Times New Roman" w:hAnsi="Times New Roman" w:cs="Times New Roman"/>
          <w:b/>
          <w:sz w:val="24"/>
          <w:szCs w:val="28"/>
          <w:lang w:val="en-GB"/>
        </w:rPr>
        <w:t xml:space="preserve"> </w:t>
      </w:r>
      <w:proofErr w:type="spellStart"/>
      <w:r w:rsidRPr="00232EFF">
        <w:rPr>
          <w:rFonts w:ascii="Times New Roman" w:hAnsi="Times New Roman" w:cs="Times New Roman"/>
          <w:sz w:val="24"/>
          <w:szCs w:val="28"/>
          <w:lang w:val="en-GB"/>
        </w:rPr>
        <w:t>Amperometric</w:t>
      </w:r>
      <w:proofErr w:type="spellEnd"/>
      <w:r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performance of H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O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detection in Cu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O single-laye</w:t>
      </w:r>
      <w:r w:rsidRPr="00232EFF">
        <w:rPr>
          <w:rFonts w:ascii="Times New Roman" w:hAnsi="Times New Roman" w:cs="Times New Roman" w:hint="eastAsia"/>
          <w:sz w:val="24"/>
          <w:szCs w:val="28"/>
          <w:lang w:val="en-GB"/>
        </w:rPr>
        <w:t>r</w:t>
      </w:r>
      <w:r w:rsidR="003D252B"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(A), Cu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O/GO double-layer</w:t>
      </w:r>
      <w:r w:rsidR="003D252B" w:rsidRPr="00232EFF">
        <w:rPr>
          <w:rFonts w:ascii="Times New Roman" w:hAnsi="Times New Roman" w:cs="Times New Roman"/>
          <w:sz w:val="24"/>
          <w:szCs w:val="28"/>
          <w:lang w:val="en-GB"/>
        </w:rPr>
        <w:t xml:space="preserve"> 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(B) and sandwich-like GO/Cu</w:t>
      </w:r>
      <w:r w:rsidRPr="00232EFF">
        <w:rPr>
          <w:rFonts w:ascii="Times New Roman" w:hAnsi="Times New Roman" w:cs="Times New Roman"/>
          <w:sz w:val="24"/>
          <w:szCs w:val="28"/>
          <w:vertAlign w:val="subscript"/>
          <w:lang w:val="en-GB"/>
        </w:rPr>
        <w:t>2</w:t>
      </w:r>
      <w:r w:rsidRPr="00232EFF">
        <w:rPr>
          <w:rFonts w:ascii="Times New Roman" w:hAnsi="Times New Roman" w:cs="Times New Roman"/>
          <w:sz w:val="24"/>
          <w:szCs w:val="28"/>
          <w:lang w:val="en-GB"/>
        </w:rPr>
        <w:t>O/GO electrodes.</w:t>
      </w:r>
    </w:p>
    <w:p w14:paraId="0434BF4F" w14:textId="77777777" w:rsidR="00A4793B" w:rsidRPr="00A4793B" w:rsidRDefault="00A4793B">
      <w:pPr>
        <w:rPr>
          <w:lang w:val="en-GB"/>
        </w:rPr>
      </w:pPr>
    </w:p>
    <w:sectPr w:rsidR="00A4793B" w:rsidRPr="00A479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00B39" w14:textId="77777777" w:rsidR="00F023B4" w:rsidRDefault="00F023B4" w:rsidP="00A4793B">
      <w:r>
        <w:separator/>
      </w:r>
    </w:p>
  </w:endnote>
  <w:endnote w:type="continuationSeparator" w:id="0">
    <w:p w14:paraId="18EBDB63" w14:textId="77777777" w:rsidR="00F023B4" w:rsidRDefault="00F023B4" w:rsidP="00A47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516F9" w14:textId="77777777" w:rsidR="00F023B4" w:rsidRDefault="00F023B4" w:rsidP="00A4793B">
      <w:r>
        <w:separator/>
      </w:r>
    </w:p>
  </w:footnote>
  <w:footnote w:type="continuationSeparator" w:id="0">
    <w:p w14:paraId="2B293AC1" w14:textId="77777777" w:rsidR="00F023B4" w:rsidRDefault="00F023B4" w:rsidP="00A47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78"/>
    <w:rsid w:val="000C1369"/>
    <w:rsid w:val="001E66D9"/>
    <w:rsid w:val="001E7E20"/>
    <w:rsid w:val="00232EFF"/>
    <w:rsid w:val="002E5548"/>
    <w:rsid w:val="003D252B"/>
    <w:rsid w:val="00467E96"/>
    <w:rsid w:val="00496063"/>
    <w:rsid w:val="004A168B"/>
    <w:rsid w:val="0053765E"/>
    <w:rsid w:val="007D4231"/>
    <w:rsid w:val="00817797"/>
    <w:rsid w:val="008A1BCB"/>
    <w:rsid w:val="008B17E2"/>
    <w:rsid w:val="008F2D9A"/>
    <w:rsid w:val="009152CA"/>
    <w:rsid w:val="00986E1E"/>
    <w:rsid w:val="00992A60"/>
    <w:rsid w:val="00A4793B"/>
    <w:rsid w:val="00AB2D72"/>
    <w:rsid w:val="00B74E02"/>
    <w:rsid w:val="00B9457E"/>
    <w:rsid w:val="00BB6A68"/>
    <w:rsid w:val="00C54437"/>
    <w:rsid w:val="00CA43E2"/>
    <w:rsid w:val="00CA4E78"/>
    <w:rsid w:val="00E77161"/>
    <w:rsid w:val="00E94CDE"/>
    <w:rsid w:val="00F0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AAC281"/>
  <w15:chartTrackingRefBased/>
  <w15:docId w15:val="{E145A2D4-845F-4A4E-9C36-4C0DBB12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9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93B"/>
    <w:rPr>
      <w:sz w:val="18"/>
      <w:szCs w:val="18"/>
    </w:rPr>
  </w:style>
  <w:style w:type="paragraph" w:customStyle="1" w:styleId="BCAuthorAddress">
    <w:name w:val="BC_Author_Address"/>
    <w:basedOn w:val="a"/>
    <w:next w:val="a"/>
    <w:autoRedefine/>
    <w:rsid w:val="00A4793B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character" w:styleId="a7">
    <w:name w:val="Hyperlink"/>
    <w:basedOn w:val="a0"/>
    <w:uiPriority w:val="99"/>
    <w:unhideWhenUsed/>
    <w:rsid w:val="00467E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wong</dc:creator>
  <cp:keywords/>
  <dc:description/>
  <cp:lastModifiedBy>乐山乐水</cp:lastModifiedBy>
  <cp:revision>18</cp:revision>
  <dcterms:created xsi:type="dcterms:W3CDTF">2018-08-04T04:36:00Z</dcterms:created>
  <dcterms:modified xsi:type="dcterms:W3CDTF">2020-01-16T15:32:00Z</dcterms:modified>
</cp:coreProperties>
</file>